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FAC" w:rsidRPr="00EB37E3" w:rsidRDefault="005C1FAC" w:rsidP="005C1FAC">
      <w:pPr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37E3">
        <w:rPr>
          <w:rFonts w:ascii="仿宋_GB2312" w:eastAsia="仿宋_GB2312" w:hAnsi="仿宋" w:hint="eastAsia"/>
          <w:sz w:val="30"/>
          <w:szCs w:val="30"/>
        </w:rPr>
        <w:t>1.</w:t>
      </w:r>
      <w:r w:rsidRPr="00EB37E3">
        <w:rPr>
          <w:rFonts w:ascii="仿宋_GB2312" w:eastAsia="仿宋_GB2312" w:hAnsi="仿宋" w:cs="Arial" w:hint="eastAsia"/>
          <w:sz w:val="30"/>
          <w:szCs w:val="30"/>
        </w:rPr>
        <w:t>外贸</w:t>
      </w:r>
      <w:r w:rsidRPr="00EB37E3">
        <w:rPr>
          <w:rFonts w:ascii="仿宋_GB2312" w:eastAsia="仿宋_GB2312" w:hAnsi="仿宋" w:hint="eastAsia"/>
          <w:sz w:val="30"/>
          <w:szCs w:val="30"/>
        </w:rPr>
        <w:t>B2B模块</w:t>
      </w:r>
    </w:p>
    <w:p w:rsidR="005C1FAC" w:rsidRPr="00EB37E3" w:rsidRDefault="005C1FAC" w:rsidP="005C1FAC">
      <w:pPr>
        <w:spacing w:line="560" w:lineRule="exact"/>
        <w:jc w:val="center"/>
        <w:rPr>
          <w:rFonts w:ascii="仿宋_GB2312" w:eastAsia="仿宋_GB2312" w:hAnsi="仿宋" w:cs="宋体" w:hint="eastAsia"/>
          <w:sz w:val="24"/>
        </w:rPr>
      </w:pPr>
      <w:r w:rsidRPr="00EB37E3">
        <w:rPr>
          <w:rFonts w:ascii="仿宋_GB2312" w:eastAsia="仿宋_GB2312" w:hAnsi="仿宋" w:cs="宋体" w:hint="eastAsia"/>
          <w:sz w:val="24"/>
        </w:rPr>
        <w:t>表5 外贸B2B模块评分细则</w:t>
      </w:r>
      <w:bookmarkStart w:id="0" w:name="_GoBack"/>
      <w:bookmarkEnd w:id="0"/>
    </w:p>
    <w:tbl>
      <w:tblPr>
        <w:tblW w:w="8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1658"/>
        <w:gridCol w:w="4497"/>
        <w:gridCol w:w="669"/>
      </w:tblGrid>
      <w:tr w:rsidR="005C1FAC" w:rsidRPr="00EB37E3" w:rsidTr="005C1FAC">
        <w:trPr>
          <w:trHeight w:val="535"/>
          <w:tblHeader/>
          <w:jc w:val="center"/>
        </w:trPr>
        <w:tc>
          <w:tcPr>
            <w:tcW w:w="13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要素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评分细则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分值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业务推广</w:t>
            </w:r>
          </w:p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（共5分）</w:t>
            </w: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建站管理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管理公司信息：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须完善公司信息，全部填写完整则得满分0.4分，具体包括5个主营业务(每个0.02分）、10个更多经营产品（每个0.008分）、设置公司标志（0.044分）、设置3个公司形象展示图（每个0.044分）及公司详细信息的填写（0.044分）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0.4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完成A&amp;V认证得0.1分。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0.1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加入金</w:t>
            </w:r>
            <w:proofErr w:type="gramStart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品诚企</w:t>
            </w:r>
            <w:proofErr w:type="gramEnd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并完成管理能力评估得0.1分。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0.1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完成店铺装修，包括更换主题和Banner，各0.1分。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0.2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产品管理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发布产品的数量，发布1个产品得0.2分，5个满分。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1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发布产品的质量，包括产品标题、关键词、产品图片、原产地等产品属性、物流信息（包括发货期、港口等）、产品详情等，此项得分取所有产品页面的平均分。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1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认证商品个数，每个0.04分，5个得满分。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0.2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橱窗产品个数，每个0.04分，5个得满分。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0.2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创建产品分组的个数，</w:t>
            </w:r>
            <w:proofErr w:type="gramStart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每创建</w:t>
            </w:r>
            <w:proofErr w:type="gramEnd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一个一级分组得0.04分，5个得满分。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0.2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采购直达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发布采购需求数量，每个0.04分，5个满分。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0.2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采购需求的内容，主要考察填写的完整性和正确性，此项得分取所有采购需求的平均分。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0.8</w:t>
            </w:r>
          </w:p>
        </w:tc>
      </w:tr>
      <w:tr w:rsidR="005C1FAC" w:rsidRPr="00EB37E3" w:rsidTr="00171FEB">
        <w:trPr>
          <w:trHeight w:val="85"/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公司广告推广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发布公司广告的数量，每条0.1分，3条满分。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0.3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发布公司广告的质量，标题和内容要求均为英文，能较好地展示公司，突出公司的主营产品等。此项得分取所有公司广告的平均分。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0.3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寻找客户</w:t>
            </w:r>
          </w:p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（共16分）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客户群的多样化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考核“历史业务”中交易的客户数，每个客户1分，16个不同的客户得满分。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16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业务磋商</w:t>
            </w:r>
          </w:p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（共6分）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出口业务磋商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此项得分为“历史业务”中的每笔出口业务的“出口业务磋商”得分的平均分。具体每笔业务的评分如下：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1.发出的函电中须有类型为“发盘”的函电，有则得0.5分，否则不得分；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2.发出的“发盘”函电的正文中须包含以下要素：产品编号、产品名称、数量、单价（完整的表达）、总金额、结算方式、运输方式、装运港、目的港、保险条款（每个要素0.15分，共1.5分），错写或漏写则该要素不得分；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注意：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（1）发盘要素的标题必须与范例（详见“竞赛试题”）完全一致，否则不得分；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（2）如有多次“发盘”，无须每封函电都写全所有要素，这些要素可分布在不同的函电中；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3.所有函电的标题和正文必须为英文，符合要求得0.5分，否则不得分。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4.所有发出的函电正文平均字数（包括标点）达到400个字符则得0.5分，不达标不得分。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3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进口业务磋商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此项得分为“历史业务”中的每笔进口业务的“进口业务磋商”得分的平均分。具体每笔业务的评分如下：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1.发出的函电中须有“询盘”和“接受”两种类型的函电，每个类型各0.5分，有则得分，否则不得分，共1分；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2.发出的“询盘”函电的正文中包含产品名称则得0.5分，否则不得分；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3.发出的“接受”函电的正文中包含关键词“accept”或“accepted”，包含2个关键词中的任意1个则得0.5分，否则不得分；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4.所有函电的标题和正文必须为英文，符合要求得0.5分，否则不得分。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5.所有发出的函电正文平均字数（包括标点）达到400个字符则得0.5分，不达标不得分。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3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进出口价格核算</w:t>
            </w:r>
          </w:p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（共15分）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出口成本预算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此项得分为：“历史业务”中出口成本预算表的平均得分×7.5%。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7.5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进口成本预算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此项得分为：“历史业务”中进口成本预算表的平均得分×7.5%。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7.5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签订合同</w:t>
            </w:r>
          </w:p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（共3.5</w:t>
            </w: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分）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进出口合同订立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“历史业务”中每笔进出口业务得0.25分，14笔满分。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3.5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业务多样性</w:t>
            </w:r>
          </w:p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（共34.5分）</w:t>
            </w: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成交产品数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“历史业务”中出口产品应多样化，每个不同的产品（按产品编号）得1分，8个满分。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8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“历史业务”中进口产品应多样化，每个不同的产品（按产品编号）得1分，8个满分。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8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主要贸易术语的掌握和运用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“历史业务”中出口业务贸易术语使用种类数量，使用一种得0.5分，6种得满分。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3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“历史业务”中进口业务贸易术语使用种类数量，使用一种得0.5分，6种得满分。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3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主要结算方式的掌握和运用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“历史业务”中出口业务结算方式使用种类数量，使用一种得0.5分，5种得满分。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2.5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“历史业务”中进口业务结算方式使用种类数量，使用一种得0.5分，5种得满分。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2.5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海运、空运两种运输方式的合理运用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“历史业务”中海运业务的数量，每笔0.5分，9笔满分。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4.5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“历史业务”中空运业务的数量，每笔0.6分，5笔满分。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3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盈利能力</w:t>
            </w:r>
          </w:p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（共20分）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公司盈利能力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公司盈利率=（当前资金-初始资金）/初始资金=每笔业务盈亏额之和/初始资金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每笔业务盈亏额为“历史业务”中预算</w:t>
            </w:r>
            <w:proofErr w:type="gramStart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表实际</w:t>
            </w:r>
            <w:proofErr w:type="gramEnd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发生额一栏的“预期盈亏额”。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公司盈利率小于等于0则此项得分为0；公司盈利率越高，此项得分越高，达到450%得满分。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评分结果举例：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公司盈利率为50%，得1.11分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公司盈利率为100%，得2.07分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公司盈利率为150%，得2.98分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公司盈利率为200%，得3.86分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公司盈利率为300%，得5.55分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公司盈利率为350%，得6.38分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公司盈利率为400%，得7.20分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公司盈利率为450%，得8分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8</w:t>
            </w:r>
          </w:p>
        </w:tc>
      </w:tr>
      <w:tr w:rsidR="005C1FAC" w:rsidRPr="00EB37E3" w:rsidTr="00171FEB">
        <w:trPr>
          <w:jc w:val="center"/>
        </w:trPr>
        <w:tc>
          <w:tcPr>
            <w:tcW w:w="1358" w:type="dxa"/>
            <w:vMerge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</w:t>
            </w:r>
          </w:p>
        </w:tc>
        <w:tc>
          <w:tcPr>
            <w:tcW w:w="4497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此项得分为“历史业务”中的每笔进出口业务的“业务利润率”得分的平均分。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每笔业务的“业务利润率”得分根据该业务预算</w:t>
            </w:r>
            <w:proofErr w:type="gramStart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表实际</w:t>
            </w:r>
            <w:proofErr w:type="gramEnd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发生额一栏中“预期盈亏率”来评分，数值越大则分数越高，达到40%得满分。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每笔业务的评分结果举例：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业务利润率为5%，得1.85分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业务利润率为10%，得3.45分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业务利润率为15%，得4.96分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业务利润率为20%，得6.43分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业务利润率为25%，得7.86分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业务利润率为30%，得9.26分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业务利润率为35%，得10.64分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业务利润率为40%，得12分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例如：某同学一共完成3笔业务，业务</w:t>
            </w:r>
            <w:proofErr w:type="gramStart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一</w:t>
            </w:r>
            <w:proofErr w:type="gramEnd"/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盈亏率为15%，业务二盈亏率为20%，业务三盈亏率为30%，则：</w:t>
            </w:r>
          </w:p>
          <w:p w:rsidR="005C1FAC" w:rsidRPr="00EB37E3" w:rsidRDefault="005C1FAC" w:rsidP="00171FEB">
            <w:pPr>
              <w:widowControl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t>业务利润率得分=（4.96+6.43+9.26）/3=6.88分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5C1FAC" w:rsidRPr="00EB37E3" w:rsidRDefault="005C1FAC" w:rsidP="00171FEB">
            <w:pPr>
              <w:widowControl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 w:rsidRPr="00EB37E3"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12</w:t>
            </w:r>
          </w:p>
        </w:tc>
      </w:tr>
    </w:tbl>
    <w:p w:rsidR="005C1FAC" w:rsidRPr="005309B0" w:rsidRDefault="005C1FAC" w:rsidP="005C1FAC">
      <w:pPr>
        <w:tabs>
          <w:tab w:val="right" w:pos="8306"/>
        </w:tabs>
        <w:snapToGrid w:val="0"/>
        <w:spacing w:line="360" w:lineRule="auto"/>
        <w:ind w:firstLineChars="200" w:firstLine="600"/>
        <w:rPr>
          <w:rFonts w:ascii="仿宋_GB2312" w:eastAsia="仿宋_GB2312" w:hAnsi="仿宋" w:cs="Arial" w:hint="eastAsia"/>
          <w:kern w:val="0"/>
          <w:sz w:val="30"/>
          <w:szCs w:val="30"/>
        </w:rPr>
      </w:pPr>
      <w:r w:rsidRPr="005309B0">
        <w:rPr>
          <w:rFonts w:ascii="仿宋_GB2312" w:eastAsia="仿宋_GB2312" w:hAnsi="仿宋" w:cs="Arial" w:hint="eastAsia"/>
          <w:kern w:val="0"/>
          <w:sz w:val="30"/>
          <w:szCs w:val="30"/>
        </w:rPr>
        <w:lastRenderedPageBreak/>
        <w:t>6种贸易术语为：CIF、FOB、CFR、CIP、FCA、CPT</w:t>
      </w:r>
    </w:p>
    <w:p w:rsidR="005C1FAC" w:rsidRPr="005309B0" w:rsidRDefault="005C1FAC" w:rsidP="005C1FAC">
      <w:pPr>
        <w:snapToGrid w:val="0"/>
        <w:spacing w:line="360" w:lineRule="auto"/>
        <w:ind w:firstLineChars="200" w:firstLine="600"/>
        <w:rPr>
          <w:rFonts w:ascii="仿宋_GB2312" w:eastAsia="仿宋_GB2312" w:hAnsi="仿宋" w:cs="Arial" w:hint="eastAsia"/>
          <w:kern w:val="0"/>
          <w:sz w:val="30"/>
          <w:szCs w:val="30"/>
        </w:rPr>
      </w:pPr>
      <w:r w:rsidRPr="005309B0">
        <w:rPr>
          <w:rFonts w:ascii="仿宋_GB2312" w:eastAsia="仿宋_GB2312" w:hAnsi="仿宋" w:cs="Arial" w:hint="eastAsia"/>
          <w:kern w:val="0"/>
          <w:sz w:val="30"/>
          <w:szCs w:val="30"/>
        </w:rPr>
        <w:t>5种结算方式为：100%T/T、T/T（定金+尾款）、L/C、D/P、D/A</w:t>
      </w:r>
    </w:p>
    <w:p w:rsidR="00866CDA" w:rsidRPr="005C1FAC" w:rsidRDefault="00866CDA" w:rsidP="005C1FAC"/>
    <w:sectPr w:rsidR="00866CDA" w:rsidRPr="005C1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FAC"/>
    <w:rsid w:val="005C1FAC"/>
    <w:rsid w:val="0086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FA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FA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2020-09-19T16:22:00Z</dcterms:created>
  <dcterms:modified xsi:type="dcterms:W3CDTF">2020-09-19T16:23:00Z</dcterms:modified>
</cp:coreProperties>
</file>